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605CB" w14:textId="77777777" w:rsidR="00252E61" w:rsidRDefault="00252E61">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pPr w:leftFromText="180" w:rightFromText="180" w:vertAnchor="page" w:horzAnchor="margin" w:tblpXSpec="center" w:tblpY="1575"/>
        <w:tblW w:w="13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8735"/>
        <w:gridCol w:w="1345"/>
        <w:gridCol w:w="815"/>
        <w:gridCol w:w="1170"/>
      </w:tblGrid>
      <w:tr w:rsidR="00252E61" w14:paraId="4EE94A8E" w14:textId="77777777">
        <w:tc>
          <w:tcPr>
            <w:tcW w:w="12780" w:type="dxa"/>
            <w:gridSpan w:val="4"/>
          </w:tcPr>
          <w:p w14:paraId="66B92186" w14:textId="77777777" w:rsidR="00252E61" w:rsidRDefault="00000000">
            <w:pPr>
              <w:jc w:val="center"/>
              <w:rPr>
                <w:rFonts w:ascii="Arial" w:eastAsia="Arial" w:hAnsi="Arial" w:cs="Arial"/>
                <w:b/>
                <w:bCs/>
                <w:sz w:val="20"/>
                <w:szCs w:val="20"/>
              </w:rPr>
            </w:pPr>
            <w:r>
              <w:rPr>
                <w:rFonts w:ascii="Arial" w:eastAsia="Arial" w:hAnsi="Arial" w:cs="Arial"/>
                <w:b/>
                <w:bCs/>
                <w:sz w:val="20"/>
                <w:szCs w:val="20"/>
              </w:rPr>
              <w:t>2026 Boston University ECE Summer Research Projects</w:t>
            </w:r>
          </w:p>
        </w:tc>
        <w:tc>
          <w:tcPr>
            <w:tcW w:w="1170" w:type="dxa"/>
          </w:tcPr>
          <w:p w14:paraId="6747F75B" w14:textId="77777777" w:rsidR="00252E61" w:rsidRDefault="00252E61">
            <w:pPr>
              <w:jc w:val="center"/>
              <w:rPr>
                <w:rFonts w:ascii="Arial" w:eastAsia="Arial" w:hAnsi="Arial" w:cs="Arial"/>
                <w:sz w:val="20"/>
                <w:szCs w:val="20"/>
              </w:rPr>
            </w:pPr>
          </w:p>
        </w:tc>
      </w:tr>
      <w:tr w:rsidR="00252E61" w14:paraId="55F7AE0E" w14:textId="77777777">
        <w:tc>
          <w:tcPr>
            <w:tcW w:w="1885" w:type="dxa"/>
          </w:tcPr>
          <w:p w14:paraId="66DE0406" w14:textId="77777777" w:rsidR="00252E61" w:rsidRDefault="00000000">
            <w:pPr>
              <w:jc w:val="center"/>
              <w:rPr>
                <w:rFonts w:ascii="Arial" w:eastAsia="Arial" w:hAnsi="Arial" w:cs="Arial"/>
                <w:sz w:val="20"/>
                <w:szCs w:val="20"/>
              </w:rPr>
            </w:pPr>
            <w:r>
              <w:rPr>
                <w:rFonts w:ascii="Arial" w:eastAsia="Arial" w:hAnsi="Arial" w:cs="Arial"/>
                <w:sz w:val="20"/>
                <w:szCs w:val="20"/>
              </w:rPr>
              <w:t>Project title</w:t>
            </w:r>
          </w:p>
        </w:tc>
        <w:tc>
          <w:tcPr>
            <w:tcW w:w="8735" w:type="dxa"/>
          </w:tcPr>
          <w:p w14:paraId="6E4D3D3B" w14:textId="77777777" w:rsidR="00252E61" w:rsidRDefault="00000000">
            <w:pPr>
              <w:jc w:val="center"/>
              <w:rPr>
                <w:rFonts w:ascii="Arial" w:eastAsia="Arial" w:hAnsi="Arial" w:cs="Arial"/>
                <w:sz w:val="20"/>
                <w:szCs w:val="20"/>
              </w:rPr>
            </w:pPr>
            <w:r>
              <w:rPr>
                <w:rFonts w:ascii="Arial" w:eastAsia="Arial" w:hAnsi="Arial" w:cs="Arial"/>
                <w:sz w:val="20"/>
                <w:szCs w:val="20"/>
              </w:rPr>
              <w:t>Project Description</w:t>
            </w:r>
          </w:p>
        </w:tc>
        <w:tc>
          <w:tcPr>
            <w:tcW w:w="1345" w:type="dxa"/>
          </w:tcPr>
          <w:p w14:paraId="24330595" w14:textId="77777777" w:rsidR="00252E61" w:rsidRDefault="00000000">
            <w:pPr>
              <w:jc w:val="center"/>
              <w:rPr>
                <w:rFonts w:ascii="Arial" w:eastAsia="Arial" w:hAnsi="Arial" w:cs="Arial"/>
                <w:sz w:val="20"/>
                <w:szCs w:val="20"/>
              </w:rPr>
            </w:pPr>
            <w:r>
              <w:rPr>
                <w:rFonts w:ascii="Arial" w:eastAsia="Arial" w:hAnsi="Arial" w:cs="Arial"/>
                <w:sz w:val="20"/>
                <w:szCs w:val="20"/>
              </w:rPr>
              <w:t xml:space="preserve">Mentor and group website </w:t>
            </w:r>
          </w:p>
        </w:tc>
        <w:tc>
          <w:tcPr>
            <w:tcW w:w="815" w:type="dxa"/>
          </w:tcPr>
          <w:p w14:paraId="5469F66D" w14:textId="77777777" w:rsidR="00252E61" w:rsidRDefault="00000000">
            <w:pPr>
              <w:jc w:val="center"/>
              <w:rPr>
                <w:rFonts w:ascii="Arial" w:eastAsia="Arial" w:hAnsi="Arial" w:cs="Arial"/>
                <w:sz w:val="20"/>
                <w:szCs w:val="20"/>
              </w:rPr>
            </w:pPr>
            <w:r>
              <w:rPr>
                <w:rFonts w:ascii="Arial" w:eastAsia="Arial" w:hAnsi="Arial" w:cs="Arial"/>
                <w:sz w:val="20"/>
                <w:szCs w:val="20"/>
              </w:rPr>
              <w:t>Openings</w:t>
            </w:r>
          </w:p>
        </w:tc>
        <w:tc>
          <w:tcPr>
            <w:tcW w:w="1170" w:type="dxa"/>
          </w:tcPr>
          <w:p w14:paraId="001F9083" w14:textId="77777777" w:rsidR="00252E61" w:rsidRDefault="00000000">
            <w:pPr>
              <w:rPr>
                <w:rFonts w:ascii="Arial" w:eastAsia="Arial" w:hAnsi="Arial" w:cs="Arial"/>
                <w:sz w:val="20"/>
                <w:szCs w:val="20"/>
              </w:rPr>
            </w:pPr>
            <w:r>
              <w:rPr>
                <w:rFonts w:ascii="Arial" w:eastAsia="Arial" w:hAnsi="Arial" w:cs="Arial"/>
                <w:sz w:val="20"/>
                <w:szCs w:val="20"/>
              </w:rPr>
              <w:t>Applicants and email address</w:t>
            </w:r>
          </w:p>
        </w:tc>
      </w:tr>
      <w:tr w:rsidR="00252E61" w14:paraId="7FBB33BA" w14:textId="77777777">
        <w:trPr>
          <w:trHeight w:val="63"/>
        </w:trPr>
        <w:tc>
          <w:tcPr>
            <w:tcW w:w="18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DD3F55" w14:textId="77777777" w:rsidR="00252E61" w:rsidRDefault="00000000">
            <w:pPr>
              <w:ind w:left="140" w:right="140"/>
              <w:rPr>
                <w:rFonts w:ascii="Arial" w:eastAsia="Arial" w:hAnsi="Arial" w:cs="Arial"/>
                <w:sz w:val="20"/>
                <w:szCs w:val="20"/>
              </w:rPr>
            </w:pPr>
            <w:r>
              <w:rPr>
                <w:rFonts w:ascii="Arial" w:eastAsia="Arial" w:hAnsi="Arial" w:cs="Arial"/>
                <w:sz w:val="20"/>
                <w:szCs w:val="20"/>
              </w:rPr>
              <w:t>Ultrasensitive Imaging of Thermal and Acoustic Field interacting with biological systems</w:t>
            </w:r>
          </w:p>
        </w:tc>
        <w:tc>
          <w:tcPr>
            <w:tcW w:w="87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7D3657C" w14:textId="77777777" w:rsidR="00252E61" w:rsidRDefault="00000000">
            <w:pPr>
              <w:ind w:left="140" w:right="140"/>
              <w:rPr>
                <w:rFonts w:ascii="Arial" w:eastAsia="Arial" w:hAnsi="Arial" w:cs="Arial"/>
                <w:sz w:val="20"/>
                <w:szCs w:val="20"/>
              </w:rPr>
            </w:pPr>
            <w:r>
              <w:rPr>
                <w:rFonts w:ascii="Arial" w:eastAsia="Arial" w:hAnsi="Arial" w:cs="Arial"/>
                <w:sz w:val="20"/>
                <w:szCs w:val="20"/>
              </w:rPr>
              <w:t xml:space="preserve">Thermal and acoustic fields have been shown as important physics stimuli modulating cell activities.  In this project we will develop a pump-probe based imaging method with unprecedented high spatiotemporal resolution to map the dynamic and propagation of these fields to understand how they interact with cells, such as neurons.  Students will design and setup the optic setup for the imaging platform and perform in vitro imaging. </w:t>
            </w:r>
          </w:p>
          <w:p w14:paraId="63E93C6F" w14:textId="77777777" w:rsidR="00252E61" w:rsidRDefault="00252E61">
            <w:pPr>
              <w:ind w:left="140" w:right="140"/>
              <w:rPr>
                <w:rFonts w:ascii="Arial" w:eastAsia="Arial" w:hAnsi="Arial" w:cs="Arial"/>
                <w:sz w:val="20"/>
                <w:szCs w:val="20"/>
              </w:rPr>
            </w:pPr>
          </w:p>
          <w:p w14:paraId="05C047DE" w14:textId="77777777" w:rsidR="00252E61" w:rsidRDefault="00000000">
            <w:pPr>
              <w:ind w:left="140" w:right="140"/>
              <w:rPr>
                <w:rFonts w:ascii="Arial" w:eastAsia="Arial" w:hAnsi="Arial" w:cs="Arial"/>
                <w:sz w:val="20"/>
                <w:szCs w:val="20"/>
              </w:rPr>
            </w:pPr>
            <w:r>
              <w:rPr>
                <w:rFonts w:ascii="Arial" w:eastAsia="Arial" w:hAnsi="Arial" w:cs="Arial"/>
                <w:sz w:val="20"/>
                <w:szCs w:val="20"/>
              </w:rPr>
              <w:t xml:space="preserve">Reference: </w:t>
            </w:r>
            <w:r>
              <w:rPr>
                <w:rFonts w:ascii="Arial" w:eastAsia="Arial" w:hAnsi="Arial" w:cs="Arial"/>
                <w:i/>
                <w:iCs/>
                <w:sz w:val="20"/>
                <w:szCs w:val="20"/>
              </w:rPr>
              <w:t>Science Advances, 2025. https://www.science.org/doi/10.1126/sciadv.adw4939</w:t>
            </w:r>
          </w:p>
        </w:tc>
        <w:tc>
          <w:tcPr>
            <w:tcW w:w="1345" w:type="dxa"/>
            <w:shd w:val="clear" w:color="auto" w:fill="E7E6E6"/>
          </w:tcPr>
          <w:p w14:paraId="3C91C573" w14:textId="77777777" w:rsidR="00252E61" w:rsidRDefault="00000000">
            <w:pPr>
              <w:rPr>
                <w:rFonts w:ascii="Arial" w:eastAsia="Arial" w:hAnsi="Arial" w:cs="Arial"/>
                <w:sz w:val="20"/>
                <w:szCs w:val="20"/>
              </w:rPr>
            </w:pPr>
            <w:r>
              <w:rPr>
                <w:rFonts w:ascii="Arial" w:eastAsia="Arial" w:hAnsi="Arial" w:cs="Arial"/>
                <w:sz w:val="20"/>
                <w:szCs w:val="20"/>
              </w:rPr>
              <w:t>Chen Yang</w:t>
            </w:r>
          </w:p>
          <w:p w14:paraId="3F50904A" w14:textId="77777777" w:rsidR="00252E61" w:rsidRDefault="00000000">
            <w:pPr>
              <w:rPr>
                <w:rFonts w:ascii="Arial" w:eastAsia="Arial" w:hAnsi="Arial" w:cs="Arial"/>
                <w:sz w:val="20"/>
                <w:szCs w:val="20"/>
              </w:rPr>
            </w:pPr>
            <w:hyperlink r:id="rId6">
              <w:r>
                <w:rPr>
                  <w:rFonts w:ascii="Arial" w:eastAsia="Arial" w:hAnsi="Arial" w:cs="Arial"/>
                  <w:color w:val="1155CC"/>
                  <w:sz w:val="20"/>
                  <w:szCs w:val="20"/>
                  <w:u w:val="single"/>
                </w:rPr>
                <w:t>https://sites.bu.edu/yanglab/</w:t>
              </w:r>
            </w:hyperlink>
          </w:p>
          <w:p w14:paraId="10BC339D" w14:textId="77777777" w:rsidR="00252E61" w:rsidRDefault="00252E61">
            <w:pPr>
              <w:rPr>
                <w:rFonts w:ascii="Arial" w:eastAsia="Arial" w:hAnsi="Arial" w:cs="Arial"/>
                <w:sz w:val="20"/>
                <w:szCs w:val="20"/>
              </w:rPr>
            </w:pPr>
          </w:p>
        </w:tc>
        <w:tc>
          <w:tcPr>
            <w:tcW w:w="815" w:type="dxa"/>
            <w:shd w:val="clear" w:color="auto" w:fill="E7E6E6"/>
          </w:tcPr>
          <w:p w14:paraId="1F14C183" w14:textId="77777777" w:rsidR="00252E61" w:rsidRDefault="00000000">
            <w:pPr>
              <w:rPr>
                <w:rFonts w:ascii="Arial" w:eastAsia="Arial" w:hAnsi="Arial" w:cs="Arial"/>
                <w:sz w:val="20"/>
                <w:szCs w:val="20"/>
              </w:rPr>
            </w:pPr>
            <w:r>
              <w:rPr>
                <w:rFonts w:ascii="Arial" w:eastAsia="Arial" w:hAnsi="Arial" w:cs="Arial"/>
                <w:sz w:val="20"/>
                <w:szCs w:val="20"/>
              </w:rPr>
              <w:t>1</w:t>
            </w:r>
          </w:p>
        </w:tc>
        <w:tc>
          <w:tcPr>
            <w:tcW w:w="1170" w:type="dxa"/>
            <w:shd w:val="clear" w:color="auto" w:fill="E7E6E6"/>
          </w:tcPr>
          <w:p w14:paraId="7A509042" w14:textId="77777777" w:rsidR="00252E61" w:rsidRDefault="00252E61">
            <w:pPr>
              <w:rPr>
                <w:rFonts w:ascii="Arial" w:eastAsia="Arial" w:hAnsi="Arial" w:cs="Arial"/>
                <w:sz w:val="20"/>
                <w:szCs w:val="20"/>
              </w:rPr>
            </w:pPr>
          </w:p>
        </w:tc>
      </w:tr>
      <w:tr w:rsidR="00252E61" w14:paraId="60FFA593" w14:textId="77777777">
        <w:trPr>
          <w:trHeight w:val="1037"/>
        </w:trPr>
        <w:tc>
          <w:tcPr>
            <w:tcW w:w="1885" w:type="dxa"/>
            <w:shd w:val="clear" w:color="auto" w:fill="E7E6E6"/>
          </w:tcPr>
          <w:p w14:paraId="4BBC5B3C" w14:textId="77777777" w:rsidR="00252E61"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sz w:val="20"/>
                <w:szCs w:val="20"/>
              </w:rPr>
              <w:t>AI-powered chemical microscopy</w:t>
            </w:r>
          </w:p>
        </w:tc>
        <w:tc>
          <w:tcPr>
            <w:tcW w:w="8735" w:type="dxa"/>
            <w:shd w:val="clear" w:color="auto" w:fill="E7E6E6"/>
          </w:tcPr>
          <w:p w14:paraId="1404DF98" w14:textId="77777777" w:rsidR="00252E61" w:rsidRDefault="00000000">
            <w:pPr>
              <w:rPr>
                <w:rFonts w:ascii="Arial" w:eastAsia="Arial" w:hAnsi="Arial" w:cs="Arial"/>
                <w:sz w:val="16"/>
                <w:szCs w:val="16"/>
              </w:rPr>
            </w:pPr>
            <w:r>
              <w:rPr>
                <w:rFonts w:ascii="Arial" w:eastAsia="Arial" w:hAnsi="Arial" w:cs="Arial"/>
                <w:sz w:val="20"/>
                <w:szCs w:val="20"/>
              </w:rPr>
              <w:t xml:space="preserve">This project applies deep learning tools to break the trade-off between speed, sensitivity and field of view in chemical imaging and to address significant biomedical problems. Reference: Newton, 2025, </w:t>
            </w:r>
            <w:r>
              <w:rPr>
                <w:rFonts w:ascii="Arial" w:eastAsia="Arial" w:hAnsi="Arial" w:cs="Arial"/>
                <w:sz w:val="16"/>
                <w:szCs w:val="16"/>
              </w:rPr>
              <w:t>https://doi.org/10.1016/j.newton.2025.100195</w:t>
            </w:r>
          </w:p>
          <w:p w14:paraId="1A02990C" w14:textId="77777777" w:rsidR="00252E61" w:rsidRDefault="00000000">
            <w:pPr>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70B61821" w14:textId="77777777" w:rsidR="00252E61" w:rsidRDefault="00000000">
            <w:pPr>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14C8A1BA" w14:textId="77777777" w:rsidR="00252E61" w:rsidRDefault="00000000">
            <w:pPr>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p>
          <w:p w14:paraId="6FF11A15" w14:textId="77777777" w:rsidR="00252E61" w:rsidRDefault="00000000">
            <w:pPr>
              <w:rPr>
                <w:rFonts w:ascii="Arial" w:eastAsia="Arial" w:hAnsi="Arial" w:cs="Arial"/>
                <w:sz w:val="20"/>
                <w:szCs w:val="20"/>
              </w:rPr>
            </w:pPr>
            <w:r>
              <w:rPr>
                <w:rFonts w:ascii="Arial" w:eastAsia="Arial" w:hAnsi="Arial" w:cs="Arial"/>
                <w:sz w:val="20"/>
                <w:szCs w:val="20"/>
              </w:rPr>
              <w:tab/>
              <w:t xml:space="preserve"> </w:t>
            </w:r>
          </w:p>
        </w:tc>
        <w:tc>
          <w:tcPr>
            <w:tcW w:w="1345" w:type="dxa"/>
            <w:shd w:val="clear" w:color="auto" w:fill="E7E6E6"/>
          </w:tcPr>
          <w:p w14:paraId="0F829CB4" w14:textId="77777777" w:rsidR="00252E61" w:rsidRDefault="00000000">
            <w:pPr>
              <w:widowControl w:val="0"/>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Ji-Xin Cheng</w:t>
            </w:r>
          </w:p>
          <w:p w14:paraId="20C26FA6" w14:textId="77777777" w:rsidR="00252E61" w:rsidRDefault="00000000">
            <w:pPr>
              <w:widowControl w:val="0"/>
              <w:pBdr>
                <w:top w:val="nil"/>
                <w:left w:val="nil"/>
                <w:bottom w:val="nil"/>
                <w:right w:val="nil"/>
                <w:between w:val="nil"/>
              </w:pBdr>
              <w:spacing w:line="276" w:lineRule="auto"/>
              <w:rPr>
                <w:rFonts w:ascii="Arial" w:eastAsia="Arial" w:hAnsi="Arial" w:cs="Arial"/>
                <w:sz w:val="20"/>
                <w:szCs w:val="20"/>
              </w:rPr>
            </w:pPr>
            <w:hyperlink r:id="rId7">
              <w:r>
                <w:rPr>
                  <w:rFonts w:ascii="Arial" w:eastAsia="Arial" w:hAnsi="Arial" w:cs="Arial"/>
                  <w:color w:val="1155CC"/>
                  <w:sz w:val="20"/>
                  <w:szCs w:val="20"/>
                  <w:u w:val="single"/>
                </w:rPr>
                <w:t>https://sites.bu.edu/cheng-group/</w:t>
              </w:r>
            </w:hyperlink>
            <w:r>
              <w:rPr>
                <w:rFonts w:ascii="Arial" w:eastAsia="Arial" w:hAnsi="Arial" w:cs="Arial"/>
                <w:sz w:val="20"/>
                <w:szCs w:val="20"/>
              </w:rPr>
              <w:t xml:space="preserve"> </w:t>
            </w:r>
          </w:p>
        </w:tc>
        <w:tc>
          <w:tcPr>
            <w:tcW w:w="815" w:type="dxa"/>
            <w:shd w:val="clear" w:color="auto" w:fill="E7E6E6"/>
          </w:tcPr>
          <w:p w14:paraId="5E41E701" w14:textId="77777777" w:rsidR="00252E61" w:rsidRDefault="00000000">
            <w:pPr>
              <w:widowControl w:val="0"/>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1</w:t>
            </w:r>
          </w:p>
        </w:tc>
        <w:tc>
          <w:tcPr>
            <w:tcW w:w="1170" w:type="dxa"/>
            <w:shd w:val="clear" w:color="auto" w:fill="E7E6E6"/>
          </w:tcPr>
          <w:p w14:paraId="2147F7F1" w14:textId="77777777" w:rsidR="00252E61" w:rsidRDefault="00252E61">
            <w:pPr>
              <w:rPr>
                <w:rFonts w:ascii="Arial" w:eastAsia="Arial" w:hAnsi="Arial" w:cs="Arial"/>
                <w:sz w:val="20"/>
                <w:szCs w:val="20"/>
              </w:rPr>
            </w:pPr>
          </w:p>
        </w:tc>
      </w:tr>
      <w:tr w:rsidR="00252E61" w14:paraId="4685D252" w14:textId="77777777">
        <w:tc>
          <w:tcPr>
            <w:tcW w:w="1885" w:type="dxa"/>
            <w:shd w:val="clear" w:color="auto" w:fill="E7E6E6"/>
          </w:tcPr>
          <w:p w14:paraId="4A7FEE1D" w14:textId="77777777" w:rsidR="00252E61"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sz w:val="20"/>
                <w:szCs w:val="20"/>
              </w:rPr>
              <w:t>photothermal imaging at single molecule level</w:t>
            </w:r>
          </w:p>
        </w:tc>
        <w:tc>
          <w:tcPr>
            <w:tcW w:w="8735" w:type="dxa"/>
            <w:shd w:val="clear" w:color="auto" w:fill="E7E6E6"/>
          </w:tcPr>
          <w:p w14:paraId="28DEB616" w14:textId="77777777" w:rsidR="00252E61" w:rsidRDefault="00000000">
            <w:pPr>
              <w:rPr>
                <w:rFonts w:ascii="Arial" w:eastAsia="Arial" w:hAnsi="Arial" w:cs="Arial"/>
                <w:sz w:val="20"/>
                <w:szCs w:val="20"/>
              </w:rPr>
            </w:pPr>
            <w:r>
              <w:rPr>
                <w:rFonts w:ascii="Arial" w:eastAsia="Arial" w:hAnsi="Arial" w:cs="Arial"/>
                <w:sz w:val="20"/>
                <w:szCs w:val="20"/>
              </w:rPr>
              <w:t>The project applies single molecule photothermal microscopy, recently developed in our lab, to explore single biomolecule structure and functions. Reference: Nature Methods, 2025</w:t>
            </w:r>
          </w:p>
          <w:p w14:paraId="02FC44E2" w14:textId="77777777" w:rsidR="00252E61" w:rsidRDefault="00000000">
            <w:pPr>
              <w:rPr>
                <w:rFonts w:ascii="Arial" w:eastAsia="Arial" w:hAnsi="Arial" w:cs="Arial"/>
                <w:sz w:val="20"/>
                <w:szCs w:val="20"/>
              </w:rPr>
            </w:pPr>
            <w:r>
              <w:rPr>
                <w:rFonts w:ascii="Arial" w:eastAsia="Arial" w:hAnsi="Arial" w:cs="Arial"/>
                <w:sz w:val="20"/>
                <w:szCs w:val="20"/>
              </w:rPr>
              <w:t>doi.org/10.1038/s41592-025-02655-w</w:t>
            </w:r>
          </w:p>
        </w:tc>
        <w:tc>
          <w:tcPr>
            <w:tcW w:w="1345" w:type="dxa"/>
            <w:shd w:val="clear" w:color="auto" w:fill="E7E6E6"/>
          </w:tcPr>
          <w:p w14:paraId="22EB523E" w14:textId="77777777" w:rsidR="00252E61" w:rsidRDefault="00000000">
            <w:pPr>
              <w:widowControl w:val="0"/>
              <w:spacing w:line="276" w:lineRule="auto"/>
              <w:rPr>
                <w:rFonts w:ascii="Arial" w:eastAsia="Arial" w:hAnsi="Arial" w:cs="Arial"/>
                <w:sz w:val="20"/>
                <w:szCs w:val="20"/>
              </w:rPr>
            </w:pPr>
            <w:r>
              <w:rPr>
                <w:rFonts w:ascii="Arial" w:eastAsia="Arial" w:hAnsi="Arial" w:cs="Arial"/>
                <w:sz w:val="20"/>
                <w:szCs w:val="20"/>
              </w:rPr>
              <w:t>Ji-Xin Cheng</w:t>
            </w:r>
          </w:p>
          <w:p w14:paraId="38BEDA96" w14:textId="77777777" w:rsidR="00252E61" w:rsidRDefault="00000000">
            <w:pPr>
              <w:widowControl w:val="0"/>
              <w:spacing w:line="276" w:lineRule="auto"/>
              <w:rPr>
                <w:rFonts w:ascii="Arial" w:eastAsia="Arial" w:hAnsi="Arial" w:cs="Arial"/>
                <w:sz w:val="20"/>
                <w:szCs w:val="20"/>
              </w:rPr>
            </w:pPr>
            <w:hyperlink r:id="rId8">
              <w:r>
                <w:rPr>
                  <w:rFonts w:ascii="Arial" w:eastAsia="Arial" w:hAnsi="Arial" w:cs="Arial"/>
                  <w:color w:val="1155CC"/>
                  <w:sz w:val="20"/>
                  <w:szCs w:val="20"/>
                  <w:u w:val="single"/>
                </w:rPr>
                <w:t>https://sites.bu.edu/cheng-group/</w:t>
              </w:r>
            </w:hyperlink>
            <w:r>
              <w:rPr>
                <w:rFonts w:ascii="Arial" w:eastAsia="Arial" w:hAnsi="Arial" w:cs="Arial"/>
                <w:sz w:val="20"/>
                <w:szCs w:val="20"/>
              </w:rPr>
              <w:t xml:space="preserve"> </w:t>
            </w:r>
          </w:p>
        </w:tc>
        <w:tc>
          <w:tcPr>
            <w:tcW w:w="815" w:type="dxa"/>
            <w:shd w:val="clear" w:color="auto" w:fill="E7E6E6"/>
          </w:tcPr>
          <w:p w14:paraId="0CD4709B" w14:textId="77777777" w:rsidR="00252E61" w:rsidRDefault="00000000">
            <w:pPr>
              <w:widowControl w:val="0"/>
              <w:spacing w:line="276" w:lineRule="auto"/>
              <w:rPr>
                <w:rFonts w:ascii="Arial" w:eastAsia="Arial" w:hAnsi="Arial" w:cs="Arial"/>
                <w:sz w:val="20"/>
                <w:szCs w:val="20"/>
              </w:rPr>
            </w:pPr>
            <w:r>
              <w:rPr>
                <w:rFonts w:ascii="Arial" w:eastAsia="Arial" w:hAnsi="Arial" w:cs="Arial"/>
                <w:sz w:val="20"/>
                <w:szCs w:val="20"/>
              </w:rPr>
              <w:t>1</w:t>
            </w:r>
          </w:p>
        </w:tc>
        <w:tc>
          <w:tcPr>
            <w:tcW w:w="1170" w:type="dxa"/>
            <w:shd w:val="clear" w:color="auto" w:fill="E7E6E6"/>
          </w:tcPr>
          <w:p w14:paraId="4CF0A20E" w14:textId="77777777" w:rsidR="00252E61" w:rsidRDefault="00252E61">
            <w:pPr>
              <w:rPr>
                <w:rFonts w:ascii="Arial" w:eastAsia="Arial" w:hAnsi="Arial" w:cs="Arial"/>
                <w:sz w:val="20"/>
                <w:szCs w:val="20"/>
              </w:rPr>
            </w:pPr>
          </w:p>
        </w:tc>
      </w:tr>
      <w:tr w:rsidR="00252E61" w14:paraId="3F4A1DD3" w14:textId="77777777">
        <w:tc>
          <w:tcPr>
            <w:tcW w:w="1885" w:type="dxa"/>
          </w:tcPr>
          <w:p w14:paraId="16E26876" w14:textId="77777777" w:rsidR="00252E61" w:rsidRDefault="00000000">
            <w:r>
              <w:t>Physics &amp; Applications of Singular Light</w:t>
            </w:r>
          </w:p>
        </w:tc>
        <w:tc>
          <w:tcPr>
            <w:tcW w:w="8735" w:type="dxa"/>
          </w:tcPr>
          <w:p w14:paraId="06CE3416" w14:textId="77777777" w:rsidR="00252E61" w:rsidRDefault="00000000">
            <w:pPr>
              <w:jc w:val="both"/>
              <w:rPr>
                <w:rFonts w:ascii="Arial" w:eastAsia="Arial" w:hAnsi="Arial" w:cs="Arial"/>
                <w:sz w:val="20"/>
                <w:szCs w:val="20"/>
              </w:rPr>
            </w:pPr>
            <w:r>
              <w:rPr>
                <w:rFonts w:ascii="Arial" w:eastAsia="Arial" w:hAnsi="Arial" w:cs="Arial"/>
                <w:sz w:val="20"/>
                <w:szCs w:val="20"/>
              </w:rPr>
              <w:t>When we think of light, we think of a Gaussian-shaped spot, usually traveling in a straight line except when it encounters interfaces. This is, however, only the first, fundamental solution of the wave equation – much as a guitar string can have many modes (and frequencies) of vibrations, so can light also exist in different eigenstates. These peculiarly shaped light beams are characterized by singularities – i.e., regions in which some quantity does not have a well-defined value – in polarization, phase or amplitude. The physics of propagation of such beams reveals exotic effects, such as the ability of the beam to self-heal past obstructions (</w:t>
            </w:r>
            <w:r>
              <w:rPr>
                <w:rFonts w:ascii="Arial" w:eastAsia="Arial" w:hAnsi="Arial" w:cs="Arial"/>
                <w:b/>
                <w:bCs/>
                <w:sz w:val="20"/>
                <w:szCs w:val="20"/>
              </w:rPr>
              <w:t>Bessel beams</w:t>
            </w:r>
            <w:r>
              <w:rPr>
                <w:rFonts w:ascii="Arial" w:eastAsia="Arial" w:hAnsi="Arial" w:cs="Arial"/>
                <w:sz w:val="20"/>
                <w:szCs w:val="20"/>
              </w:rPr>
              <w:t xml:space="preserve">), the ability to carry </w:t>
            </w:r>
            <w:r>
              <w:rPr>
                <w:rFonts w:ascii="Arial" w:eastAsia="Arial" w:hAnsi="Arial" w:cs="Arial"/>
                <w:b/>
                <w:bCs/>
                <w:sz w:val="20"/>
                <w:szCs w:val="20"/>
              </w:rPr>
              <w:t>orbital angular momentum (OAM)</w:t>
            </w:r>
            <w:r>
              <w:rPr>
                <w:rFonts w:ascii="Arial" w:eastAsia="Arial" w:hAnsi="Arial" w:cs="Arial"/>
                <w:sz w:val="20"/>
                <w:szCs w:val="20"/>
              </w:rPr>
              <w:t xml:space="preserve"> that makes light travel in helical paths rather than a straight line, or even the possibility of retaining </w:t>
            </w:r>
            <w:r>
              <w:rPr>
                <w:rFonts w:ascii="Arial" w:eastAsia="Arial" w:hAnsi="Arial" w:cs="Arial"/>
                <w:b/>
                <w:bCs/>
                <w:sz w:val="20"/>
                <w:szCs w:val="20"/>
              </w:rPr>
              <w:t>memory</w:t>
            </w:r>
            <w:r>
              <w:rPr>
                <w:rFonts w:ascii="Arial" w:eastAsia="Arial" w:hAnsi="Arial" w:cs="Arial"/>
                <w:sz w:val="20"/>
                <w:szCs w:val="20"/>
              </w:rPr>
              <w:t xml:space="preserve"> of the paths that it takes. Analogous to the physics of tornadoes as well as electron orbitals, these beams reveal several unique </w:t>
            </w:r>
            <w:r>
              <w:rPr>
                <w:rFonts w:ascii="Arial" w:eastAsia="Arial" w:hAnsi="Arial" w:cs="Arial"/>
                <w:b/>
                <w:bCs/>
                <w:sz w:val="20"/>
                <w:szCs w:val="20"/>
              </w:rPr>
              <w:t xml:space="preserve">classical </w:t>
            </w:r>
            <w:r>
              <w:rPr>
                <w:rFonts w:ascii="Arial" w:eastAsia="Arial" w:hAnsi="Arial" w:cs="Arial"/>
                <w:sz w:val="20"/>
                <w:szCs w:val="20"/>
              </w:rPr>
              <w:t xml:space="preserve">and </w:t>
            </w:r>
            <w:r>
              <w:rPr>
                <w:rFonts w:ascii="Arial" w:eastAsia="Arial" w:hAnsi="Arial" w:cs="Arial"/>
                <w:b/>
                <w:bCs/>
                <w:sz w:val="20"/>
                <w:szCs w:val="20"/>
              </w:rPr>
              <w:t>quantum</w:t>
            </w:r>
            <w:r>
              <w:rPr>
                <w:rFonts w:ascii="Arial" w:eastAsia="Arial" w:hAnsi="Arial" w:cs="Arial"/>
                <w:sz w:val="20"/>
                <w:szCs w:val="20"/>
              </w:rPr>
              <w:t xml:space="preserve"> properties not normally observed with conventional Gaussian beams. We study these fundamental properties </w:t>
            </w:r>
            <w:proofErr w:type="gramStart"/>
            <w:r>
              <w:rPr>
                <w:rFonts w:ascii="Arial" w:eastAsia="Arial" w:hAnsi="Arial" w:cs="Arial"/>
                <w:sz w:val="20"/>
                <w:szCs w:val="20"/>
              </w:rPr>
              <w:t>and also</w:t>
            </w:r>
            <w:proofErr w:type="gramEnd"/>
            <w:r>
              <w:rPr>
                <w:rFonts w:ascii="Arial" w:eastAsia="Arial" w:hAnsi="Arial" w:cs="Arial"/>
                <w:sz w:val="20"/>
                <w:szCs w:val="20"/>
              </w:rPr>
              <w:t xml:space="preserve"> apply them to varied applications such as </w:t>
            </w:r>
            <w:r>
              <w:rPr>
                <w:rFonts w:ascii="Arial" w:eastAsia="Arial" w:hAnsi="Arial" w:cs="Arial"/>
                <w:b/>
                <w:bCs/>
                <w:sz w:val="20"/>
                <w:szCs w:val="20"/>
              </w:rPr>
              <w:t>high-capacity classical communications</w:t>
            </w:r>
            <w:r>
              <w:rPr>
                <w:rFonts w:ascii="Arial" w:eastAsia="Arial" w:hAnsi="Arial" w:cs="Arial"/>
                <w:sz w:val="20"/>
                <w:szCs w:val="20"/>
              </w:rPr>
              <w:t xml:space="preserve"> that consume </w:t>
            </w:r>
            <w:r>
              <w:rPr>
                <w:rFonts w:ascii="Arial" w:eastAsia="Arial" w:hAnsi="Arial" w:cs="Arial"/>
                <w:b/>
                <w:bCs/>
                <w:sz w:val="20"/>
                <w:szCs w:val="20"/>
              </w:rPr>
              <w:t>low energy per bit</w:t>
            </w:r>
            <w:r>
              <w:rPr>
                <w:rFonts w:ascii="Arial" w:eastAsia="Arial" w:hAnsi="Arial" w:cs="Arial"/>
                <w:sz w:val="20"/>
                <w:szCs w:val="20"/>
              </w:rPr>
              <w:t xml:space="preserve">, high-speed metrology including object sensing for </w:t>
            </w:r>
            <w:r>
              <w:rPr>
                <w:rFonts w:ascii="Arial" w:eastAsia="Arial" w:hAnsi="Arial" w:cs="Arial"/>
                <w:b/>
                <w:bCs/>
                <w:sz w:val="20"/>
                <w:szCs w:val="20"/>
              </w:rPr>
              <w:t>autonomous systems</w:t>
            </w:r>
            <w:r>
              <w:rPr>
                <w:rFonts w:ascii="Arial" w:eastAsia="Arial" w:hAnsi="Arial" w:cs="Arial"/>
                <w:sz w:val="20"/>
                <w:szCs w:val="20"/>
              </w:rPr>
              <w:t xml:space="preserve"> as well as </w:t>
            </w:r>
            <w:r>
              <w:rPr>
                <w:rFonts w:ascii="Arial" w:eastAsia="Arial" w:hAnsi="Arial" w:cs="Arial"/>
                <w:b/>
                <w:bCs/>
                <w:sz w:val="20"/>
                <w:szCs w:val="20"/>
              </w:rPr>
              <w:t xml:space="preserve">spectrometry </w:t>
            </w:r>
            <w:r>
              <w:rPr>
                <w:rFonts w:ascii="Arial" w:eastAsia="Arial" w:hAnsi="Arial" w:cs="Arial"/>
                <w:sz w:val="20"/>
                <w:szCs w:val="20"/>
              </w:rPr>
              <w:t>and</w:t>
            </w:r>
            <w:r>
              <w:rPr>
                <w:rFonts w:ascii="Arial" w:eastAsia="Arial" w:hAnsi="Arial" w:cs="Arial"/>
                <w:b/>
                <w:bCs/>
                <w:sz w:val="20"/>
                <w:szCs w:val="20"/>
              </w:rPr>
              <w:t xml:space="preserve"> imaging</w:t>
            </w:r>
            <w:r>
              <w:rPr>
                <w:rFonts w:ascii="Arial" w:eastAsia="Arial" w:hAnsi="Arial" w:cs="Arial"/>
                <w:sz w:val="20"/>
                <w:szCs w:val="20"/>
              </w:rPr>
              <w:t>.</w:t>
            </w:r>
          </w:p>
          <w:p w14:paraId="2FB0F2D4" w14:textId="77777777" w:rsidR="00252E61" w:rsidRDefault="00252E61">
            <w:pPr>
              <w:jc w:val="both"/>
              <w:rPr>
                <w:rFonts w:ascii="Arial" w:eastAsia="Arial" w:hAnsi="Arial" w:cs="Arial"/>
                <w:sz w:val="20"/>
                <w:szCs w:val="20"/>
                <w:u w:val="single"/>
              </w:rPr>
            </w:pPr>
          </w:p>
          <w:p w14:paraId="326089C1" w14:textId="77777777" w:rsidR="00252E61" w:rsidRDefault="00000000">
            <w:pPr>
              <w:jc w:val="both"/>
              <w:rPr>
                <w:rFonts w:ascii="Arial" w:eastAsia="Arial" w:hAnsi="Arial" w:cs="Arial"/>
                <w:sz w:val="20"/>
                <w:szCs w:val="20"/>
                <w:u w:val="single"/>
              </w:rPr>
            </w:pPr>
            <w:r>
              <w:rPr>
                <w:rFonts w:ascii="Arial" w:eastAsia="Arial" w:hAnsi="Arial" w:cs="Arial"/>
                <w:sz w:val="20"/>
                <w:szCs w:val="20"/>
                <w:u w:val="single"/>
              </w:rPr>
              <w:t>Representative Publications:</w:t>
            </w:r>
          </w:p>
          <w:p w14:paraId="3C9189AE" w14:textId="77777777" w:rsidR="00252E61" w:rsidRDefault="00000000">
            <w:pPr>
              <w:numPr>
                <w:ilvl w:val="0"/>
                <w:numId w:val="1"/>
              </w:numPr>
              <w:jc w:val="both"/>
              <w:rPr>
                <w:rFonts w:ascii="Arial" w:eastAsia="Arial" w:hAnsi="Arial" w:cs="Arial"/>
                <w:sz w:val="20"/>
                <w:szCs w:val="20"/>
              </w:rPr>
            </w:pPr>
            <w:r>
              <w:rPr>
                <w:rFonts w:ascii="Arial" w:eastAsia="Arial" w:hAnsi="Arial" w:cs="Arial"/>
                <w:sz w:val="20"/>
                <w:szCs w:val="20"/>
              </w:rPr>
              <w:t xml:space="preserve">D. I. Shahar, H. B. </w:t>
            </w:r>
            <w:proofErr w:type="spellStart"/>
            <w:r>
              <w:rPr>
                <w:rFonts w:ascii="Arial" w:eastAsia="Arial" w:hAnsi="Arial" w:cs="Arial"/>
                <w:sz w:val="20"/>
                <w:szCs w:val="20"/>
              </w:rPr>
              <w:t>Kabagöz</w:t>
            </w:r>
            <w:proofErr w:type="spellEnd"/>
            <w:r>
              <w:rPr>
                <w:rFonts w:ascii="Arial" w:eastAsia="Arial" w:hAnsi="Arial" w:cs="Arial"/>
                <w:sz w:val="20"/>
                <w:szCs w:val="20"/>
              </w:rPr>
              <w:t>, and S. Ramachandran “</w:t>
            </w:r>
            <w:hyperlink r:id="rId9">
              <w:r>
                <w:rPr>
                  <w:rFonts w:ascii="Arial" w:eastAsia="Arial" w:hAnsi="Arial" w:cs="Arial"/>
                  <w:color w:val="1155CC"/>
                  <w:sz w:val="20"/>
                  <w:szCs w:val="20"/>
                  <w:u w:val="single"/>
                </w:rPr>
                <w:t>Generation of spatial combs digitized by orbital angular momentum</w:t>
              </w:r>
            </w:hyperlink>
            <w:r>
              <w:rPr>
                <w:rFonts w:ascii="Arial" w:eastAsia="Arial" w:hAnsi="Arial" w:cs="Arial"/>
                <w:sz w:val="20"/>
                <w:szCs w:val="20"/>
              </w:rPr>
              <w:t xml:space="preserve">,” </w:t>
            </w:r>
            <w:r>
              <w:rPr>
                <w:rFonts w:ascii="Arial" w:eastAsia="Arial" w:hAnsi="Arial" w:cs="Arial"/>
                <w:i/>
                <w:iCs/>
                <w:sz w:val="20"/>
                <w:szCs w:val="20"/>
              </w:rPr>
              <w:t>APL Photonics</w:t>
            </w:r>
            <w:r>
              <w:rPr>
                <w:rFonts w:ascii="Arial" w:eastAsia="Arial" w:hAnsi="Arial" w:cs="Arial"/>
                <w:sz w:val="20"/>
                <w:szCs w:val="20"/>
              </w:rPr>
              <w:t xml:space="preserve">  </w:t>
            </w:r>
            <w:r>
              <w:rPr>
                <w:rFonts w:ascii="Arial" w:eastAsia="Arial" w:hAnsi="Arial" w:cs="Arial"/>
                <w:b/>
                <w:bCs/>
                <w:sz w:val="20"/>
                <w:szCs w:val="20"/>
              </w:rPr>
              <w:t>9,</w:t>
            </w:r>
            <w:r>
              <w:rPr>
                <w:rFonts w:ascii="Arial" w:eastAsia="Arial" w:hAnsi="Arial" w:cs="Arial"/>
                <w:sz w:val="20"/>
                <w:szCs w:val="20"/>
              </w:rPr>
              <w:t xml:space="preserve"> 016113 (2024).</w:t>
            </w:r>
          </w:p>
          <w:p w14:paraId="365BA683" w14:textId="77777777" w:rsidR="00252E61" w:rsidRDefault="00000000">
            <w:pPr>
              <w:numPr>
                <w:ilvl w:val="0"/>
                <w:numId w:val="1"/>
              </w:numPr>
              <w:jc w:val="both"/>
              <w:rPr>
                <w:rFonts w:ascii="Arial" w:eastAsia="Arial" w:hAnsi="Arial" w:cs="Arial"/>
                <w:sz w:val="20"/>
                <w:szCs w:val="20"/>
              </w:rPr>
            </w:pPr>
            <w:r>
              <w:rPr>
                <w:rFonts w:ascii="Arial" w:eastAsia="Arial" w:hAnsi="Arial" w:cs="Arial"/>
                <w:sz w:val="20"/>
                <w:szCs w:val="20"/>
              </w:rPr>
              <w:lastRenderedPageBreak/>
              <w:t>Z. Ma, P. Kristensen and S. Ramachandran, “</w:t>
            </w:r>
            <w:hyperlink r:id="rId10">
              <w:r>
                <w:rPr>
                  <w:rFonts w:ascii="Arial" w:eastAsia="Arial" w:hAnsi="Arial" w:cs="Arial"/>
                  <w:color w:val="1155CC"/>
                  <w:sz w:val="20"/>
                  <w:szCs w:val="20"/>
                  <w:u w:val="single"/>
                </w:rPr>
                <w:t>Scaling information pathways in optical fibers by topological confinement</w:t>
              </w:r>
            </w:hyperlink>
            <w:r>
              <w:rPr>
                <w:rFonts w:ascii="Arial" w:eastAsia="Arial" w:hAnsi="Arial" w:cs="Arial"/>
                <w:sz w:val="20"/>
                <w:szCs w:val="20"/>
              </w:rPr>
              <w:t xml:space="preserve">,” </w:t>
            </w:r>
            <w:r>
              <w:rPr>
                <w:rFonts w:ascii="Arial" w:eastAsia="Arial" w:hAnsi="Arial" w:cs="Arial"/>
                <w:b/>
                <w:bCs/>
                <w:i/>
                <w:iCs/>
                <w:sz w:val="20"/>
                <w:szCs w:val="20"/>
              </w:rPr>
              <w:t>Science</w:t>
            </w:r>
            <w:r>
              <w:rPr>
                <w:rFonts w:ascii="Arial" w:eastAsia="Arial" w:hAnsi="Arial" w:cs="Arial"/>
                <w:sz w:val="20"/>
                <w:szCs w:val="20"/>
              </w:rPr>
              <w:t xml:space="preserve"> </w:t>
            </w:r>
            <w:r>
              <w:rPr>
                <w:rFonts w:ascii="Arial" w:eastAsia="Arial" w:hAnsi="Arial" w:cs="Arial"/>
                <w:b/>
                <w:bCs/>
                <w:sz w:val="20"/>
                <w:szCs w:val="20"/>
              </w:rPr>
              <w:t>380</w:t>
            </w:r>
            <w:r>
              <w:rPr>
                <w:rFonts w:ascii="Arial" w:eastAsia="Arial" w:hAnsi="Arial" w:cs="Arial"/>
                <w:sz w:val="20"/>
                <w:szCs w:val="20"/>
              </w:rPr>
              <w:t>, 278-282 (2023).</w:t>
            </w:r>
          </w:p>
          <w:p w14:paraId="750FC24F" w14:textId="77777777" w:rsidR="00252E61" w:rsidRDefault="00252E61">
            <w:pPr>
              <w:jc w:val="both"/>
              <w:rPr>
                <w:rFonts w:ascii="Arial" w:eastAsia="Arial" w:hAnsi="Arial" w:cs="Arial"/>
                <w:sz w:val="20"/>
                <w:szCs w:val="20"/>
              </w:rPr>
            </w:pPr>
          </w:p>
        </w:tc>
        <w:tc>
          <w:tcPr>
            <w:tcW w:w="1345" w:type="dxa"/>
          </w:tcPr>
          <w:p w14:paraId="789E3EEA" w14:textId="77777777" w:rsidR="00252E61" w:rsidRDefault="00000000">
            <w:pPr>
              <w:rPr>
                <w:rFonts w:ascii="Arial" w:eastAsia="Arial" w:hAnsi="Arial" w:cs="Arial"/>
                <w:sz w:val="20"/>
                <w:szCs w:val="20"/>
              </w:rPr>
            </w:pPr>
            <w:r>
              <w:rPr>
                <w:rFonts w:ascii="Arial" w:eastAsia="Arial" w:hAnsi="Arial" w:cs="Arial"/>
                <w:sz w:val="20"/>
                <w:szCs w:val="20"/>
              </w:rPr>
              <w:lastRenderedPageBreak/>
              <w:t>Siddharth Ramachandran</w:t>
            </w:r>
          </w:p>
          <w:p w14:paraId="69E09EB3" w14:textId="77777777" w:rsidR="00252E61" w:rsidRDefault="00000000">
            <w:pPr>
              <w:rPr>
                <w:rFonts w:ascii="Arial" w:eastAsia="Arial" w:hAnsi="Arial" w:cs="Arial"/>
                <w:sz w:val="20"/>
                <w:szCs w:val="20"/>
              </w:rPr>
            </w:pPr>
            <w:hyperlink r:id="rId11">
              <w:r>
                <w:rPr>
                  <w:rFonts w:ascii="Arial" w:eastAsia="Arial" w:hAnsi="Arial" w:cs="Arial"/>
                  <w:color w:val="1155CC"/>
                  <w:sz w:val="20"/>
                  <w:szCs w:val="20"/>
                  <w:u w:val="single"/>
                </w:rPr>
                <w:t>https://sites.bu.edu/ramachandranlab/</w:t>
              </w:r>
            </w:hyperlink>
            <w:r>
              <w:rPr>
                <w:rFonts w:ascii="Arial" w:eastAsia="Arial" w:hAnsi="Arial" w:cs="Arial"/>
                <w:sz w:val="20"/>
                <w:szCs w:val="20"/>
              </w:rPr>
              <w:t xml:space="preserve"> </w:t>
            </w:r>
          </w:p>
        </w:tc>
        <w:tc>
          <w:tcPr>
            <w:tcW w:w="815" w:type="dxa"/>
          </w:tcPr>
          <w:p w14:paraId="6935376E" w14:textId="7D6164C8" w:rsidR="00252E61" w:rsidRDefault="00E05EF4">
            <w:pPr>
              <w:rPr>
                <w:rFonts w:ascii="Arial" w:eastAsia="Arial" w:hAnsi="Arial" w:cs="Arial"/>
                <w:sz w:val="20"/>
                <w:szCs w:val="20"/>
              </w:rPr>
            </w:pPr>
            <w:r>
              <w:rPr>
                <w:rFonts w:ascii="Arial" w:eastAsia="Arial" w:hAnsi="Arial" w:cs="Arial"/>
                <w:sz w:val="20"/>
                <w:szCs w:val="20"/>
              </w:rPr>
              <w:t>1</w:t>
            </w:r>
          </w:p>
        </w:tc>
        <w:tc>
          <w:tcPr>
            <w:tcW w:w="1170" w:type="dxa"/>
          </w:tcPr>
          <w:p w14:paraId="399C6136" w14:textId="77777777" w:rsidR="00252E61" w:rsidRDefault="00252E61">
            <w:pPr>
              <w:rPr>
                <w:rFonts w:ascii="Arial" w:eastAsia="Arial" w:hAnsi="Arial" w:cs="Arial"/>
                <w:sz w:val="20"/>
                <w:szCs w:val="20"/>
              </w:rPr>
            </w:pPr>
          </w:p>
        </w:tc>
      </w:tr>
      <w:tr w:rsidR="00252E61" w14:paraId="6209A4FB" w14:textId="77777777">
        <w:tc>
          <w:tcPr>
            <w:tcW w:w="1885" w:type="dxa"/>
          </w:tcPr>
          <w:p w14:paraId="1966ECE4" w14:textId="77777777" w:rsidR="00252E61" w:rsidRDefault="00000000">
            <w:r>
              <w:t>Nonlinear &amp; Quantum Photonics</w:t>
            </w:r>
          </w:p>
        </w:tc>
        <w:tc>
          <w:tcPr>
            <w:tcW w:w="8735" w:type="dxa"/>
          </w:tcPr>
          <w:p w14:paraId="1C9A9403" w14:textId="77777777" w:rsidR="00252E61" w:rsidRDefault="00000000">
            <w:pPr>
              <w:rPr>
                <w:rFonts w:ascii="Arial" w:eastAsia="Arial" w:hAnsi="Arial" w:cs="Arial"/>
                <w:sz w:val="20"/>
                <w:szCs w:val="20"/>
              </w:rPr>
            </w:pPr>
            <w:r>
              <w:rPr>
                <w:rFonts w:ascii="Arial" w:eastAsia="Arial" w:hAnsi="Arial" w:cs="Arial"/>
                <w:sz w:val="20"/>
                <w:szCs w:val="20"/>
              </w:rPr>
              <w:t xml:space="preserve">Nonlinear optical phenomena represent the interaction of light with the material in which it propagates, resulting in myriad effects such as the ability to controllably alter its color and shape in both time and space. Because such effects perturb the principle of superposition in linear optics, nonlinear optics is one of the </w:t>
            </w:r>
            <w:proofErr w:type="gramStart"/>
            <w:r>
              <w:rPr>
                <w:rFonts w:ascii="Arial" w:eastAsia="Arial" w:hAnsi="Arial" w:cs="Arial"/>
                <w:sz w:val="20"/>
                <w:szCs w:val="20"/>
              </w:rPr>
              <w:t>best known</w:t>
            </w:r>
            <w:proofErr w:type="gramEnd"/>
            <w:r>
              <w:rPr>
                <w:rFonts w:ascii="Arial" w:eastAsia="Arial" w:hAnsi="Arial" w:cs="Arial"/>
                <w:sz w:val="20"/>
                <w:szCs w:val="20"/>
              </w:rPr>
              <w:t xml:space="preserve"> means of generating </w:t>
            </w:r>
            <w:r>
              <w:rPr>
                <w:rFonts w:ascii="Arial" w:eastAsia="Arial" w:hAnsi="Arial" w:cs="Arial"/>
                <w:b/>
                <w:bCs/>
                <w:sz w:val="20"/>
                <w:szCs w:val="20"/>
              </w:rPr>
              <w:t>quantum entanglement</w:t>
            </w:r>
            <w:r>
              <w:rPr>
                <w:rFonts w:ascii="Arial" w:eastAsia="Arial" w:hAnsi="Arial" w:cs="Arial"/>
                <w:sz w:val="20"/>
                <w:szCs w:val="20"/>
              </w:rPr>
              <w:t xml:space="preserve">. We study new nonlinear optical phenomena enabled by singular and structured light beams, such as new modal selection rules for </w:t>
            </w:r>
            <w:r>
              <w:rPr>
                <w:rFonts w:ascii="Arial" w:eastAsia="Arial" w:hAnsi="Arial" w:cs="Arial"/>
                <w:b/>
                <w:bCs/>
                <w:sz w:val="20"/>
                <w:szCs w:val="20"/>
              </w:rPr>
              <w:t>Raman &amp; Brillouin scattering</w:t>
            </w:r>
            <w:r>
              <w:rPr>
                <w:rFonts w:ascii="Arial" w:eastAsia="Arial" w:hAnsi="Arial" w:cs="Arial"/>
                <w:sz w:val="20"/>
                <w:szCs w:val="20"/>
              </w:rPr>
              <w:t xml:space="preserve"> and the ability to obtain </w:t>
            </w:r>
            <w:r>
              <w:rPr>
                <w:rFonts w:ascii="Arial" w:eastAsia="Arial" w:hAnsi="Arial" w:cs="Arial"/>
                <w:b/>
                <w:bCs/>
                <w:sz w:val="20"/>
                <w:szCs w:val="20"/>
              </w:rPr>
              <w:t xml:space="preserve">hyper- </w:t>
            </w:r>
            <w:r>
              <w:rPr>
                <w:rFonts w:ascii="Arial" w:eastAsia="Arial" w:hAnsi="Arial" w:cs="Arial"/>
                <w:sz w:val="20"/>
                <w:szCs w:val="20"/>
              </w:rPr>
              <w:t xml:space="preserve">or </w:t>
            </w:r>
            <w:r>
              <w:rPr>
                <w:rFonts w:ascii="Arial" w:eastAsia="Arial" w:hAnsi="Arial" w:cs="Arial"/>
                <w:b/>
                <w:bCs/>
                <w:sz w:val="20"/>
                <w:szCs w:val="20"/>
              </w:rPr>
              <w:t>hybrid-quantum entanglement</w:t>
            </w:r>
            <w:r>
              <w:rPr>
                <w:rFonts w:ascii="Arial" w:eastAsia="Arial" w:hAnsi="Arial" w:cs="Arial"/>
                <w:sz w:val="20"/>
                <w:szCs w:val="20"/>
              </w:rPr>
              <w:t xml:space="preserve">. We then exploit these unique effects for applications such as single-photon frequency conversion for </w:t>
            </w:r>
            <w:r>
              <w:rPr>
                <w:rFonts w:ascii="Arial" w:eastAsia="Arial" w:hAnsi="Arial" w:cs="Arial"/>
                <w:b/>
                <w:bCs/>
                <w:sz w:val="20"/>
                <w:szCs w:val="20"/>
              </w:rPr>
              <w:t>quantum networks</w:t>
            </w:r>
            <w:r>
              <w:rPr>
                <w:rFonts w:ascii="Arial" w:eastAsia="Arial" w:hAnsi="Arial" w:cs="Arial"/>
                <w:sz w:val="20"/>
                <w:szCs w:val="20"/>
              </w:rPr>
              <w:t xml:space="preserve">, and for developing </w:t>
            </w:r>
            <w:r>
              <w:rPr>
                <w:rFonts w:ascii="Arial" w:eastAsia="Arial" w:hAnsi="Arial" w:cs="Arial"/>
                <w:b/>
                <w:bCs/>
                <w:sz w:val="20"/>
                <w:szCs w:val="20"/>
              </w:rPr>
              <w:t>high-power lasers</w:t>
            </w:r>
            <w:r>
              <w:rPr>
                <w:rFonts w:ascii="Arial" w:eastAsia="Arial" w:hAnsi="Arial" w:cs="Arial"/>
                <w:sz w:val="20"/>
                <w:szCs w:val="20"/>
              </w:rPr>
              <w:t xml:space="preserve"> in the long-pulse as well as </w:t>
            </w:r>
            <w:r>
              <w:rPr>
                <w:rFonts w:ascii="Arial" w:eastAsia="Arial" w:hAnsi="Arial" w:cs="Arial"/>
                <w:b/>
                <w:bCs/>
                <w:sz w:val="20"/>
                <w:szCs w:val="20"/>
              </w:rPr>
              <w:t>ultra-fast</w:t>
            </w:r>
            <w:r>
              <w:rPr>
                <w:rFonts w:ascii="Arial" w:eastAsia="Arial" w:hAnsi="Arial" w:cs="Arial"/>
                <w:sz w:val="20"/>
                <w:szCs w:val="20"/>
              </w:rPr>
              <w:t xml:space="preserve"> regime, for myriad uses ranging from </w:t>
            </w:r>
            <w:r>
              <w:rPr>
                <w:rFonts w:ascii="Arial" w:eastAsia="Arial" w:hAnsi="Arial" w:cs="Arial"/>
                <w:b/>
                <w:bCs/>
                <w:sz w:val="20"/>
                <w:szCs w:val="20"/>
              </w:rPr>
              <w:t>biomedical imaging</w:t>
            </w:r>
            <w:r>
              <w:rPr>
                <w:rFonts w:ascii="Arial" w:eastAsia="Arial" w:hAnsi="Arial" w:cs="Arial"/>
                <w:sz w:val="20"/>
                <w:szCs w:val="20"/>
              </w:rPr>
              <w:t xml:space="preserve"> to </w:t>
            </w:r>
            <w:r>
              <w:rPr>
                <w:rFonts w:ascii="Arial" w:eastAsia="Arial" w:hAnsi="Arial" w:cs="Arial"/>
                <w:b/>
                <w:bCs/>
                <w:sz w:val="20"/>
                <w:szCs w:val="20"/>
              </w:rPr>
              <w:t xml:space="preserve">LIDAR-based sensing </w:t>
            </w:r>
            <w:r>
              <w:rPr>
                <w:rFonts w:ascii="Arial" w:eastAsia="Arial" w:hAnsi="Arial" w:cs="Arial"/>
                <w:sz w:val="20"/>
                <w:szCs w:val="20"/>
              </w:rPr>
              <w:t>and</w:t>
            </w:r>
            <w:r>
              <w:rPr>
                <w:rFonts w:ascii="Arial" w:eastAsia="Arial" w:hAnsi="Arial" w:cs="Arial"/>
                <w:b/>
                <w:bCs/>
                <w:sz w:val="20"/>
                <w:szCs w:val="20"/>
              </w:rPr>
              <w:t xml:space="preserve"> underwater communications</w:t>
            </w:r>
            <w:r>
              <w:rPr>
                <w:rFonts w:ascii="Arial" w:eastAsia="Arial" w:hAnsi="Arial" w:cs="Arial"/>
                <w:sz w:val="20"/>
                <w:szCs w:val="20"/>
              </w:rPr>
              <w:t>.</w:t>
            </w:r>
          </w:p>
          <w:p w14:paraId="712CFEDE" w14:textId="77777777" w:rsidR="00252E61" w:rsidRDefault="00252E61">
            <w:pPr>
              <w:rPr>
                <w:rFonts w:ascii="Arial" w:eastAsia="Arial" w:hAnsi="Arial" w:cs="Arial"/>
                <w:sz w:val="20"/>
                <w:szCs w:val="20"/>
              </w:rPr>
            </w:pPr>
          </w:p>
          <w:p w14:paraId="663A8B4C" w14:textId="77777777" w:rsidR="00252E61" w:rsidRDefault="00000000">
            <w:pPr>
              <w:rPr>
                <w:rFonts w:ascii="Arial" w:eastAsia="Arial" w:hAnsi="Arial" w:cs="Arial"/>
                <w:sz w:val="20"/>
                <w:szCs w:val="20"/>
                <w:u w:val="single"/>
              </w:rPr>
            </w:pPr>
            <w:r>
              <w:rPr>
                <w:rFonts w:ascii="Arial" w:eastAsia="Arial" w:hAnsi="Arial" w:cs="Arial"/>
                <w:sz w:val="20"/>
                <w:szCs w:val="20"/>
                <w:u w:val="single"/>
              </w:rPr>
              <w:t>Representative Publications:</w:t>
            </w:r>
          </w:p>
          <w:p w14:paraId="6EFEDE2A" w14:textId="77777777" w:rsidR="00252E61" w:rsidRDefault="00000000">
            <w:pPr>
              <w:numPr>
                <w:ilvl w:val="0"/>
                <w:numId w:val="2"/>
              </w:numPr>
              <w:rPr>
                <w:rFonts w:ascii="Arial" w:eastAsia="Arial" w:hAnsi="Arial" w:cs="Arial"/>
                <w:sz w:val="20"/>
                <w:szCs w:val="20"/>
              </w:rPr>
            </w:pPr>
            <w:r>
              <w:rPr>
                <w:rFonts w:ascii="Arial" w:eastAsia="Arial" w:hAnsi="Arial" w:cs="Arial"/>
                <w:sz w:val="20"/>
                <w:szCs w:val="20"/>
              </w:rPr>
              <w:t>X. Liu, D.I. Shahar, D.B. Kim, V.O. Lorenz, and S. Ramachandran, “</w:t>
            </w:r>
            <w:hyperlink r:id="rId12">
              <w:r>
                <w:rPr>
                  <w:rFonts w:ascii="Arial" w:eastAsia="Arial" w:hAnsi="Arial" w:cs="Arial"/>
                  <w:color w:val="1155CC"/>
                  <w:sz w:val="20"/>
                  <w:szCs w:val="20"/>
                  <w:u w:val="single"/>
                </w:rPr>
                <w:t>Generation and engineering of orbital angular momentum biphotons in optical fibers</w:t>
              </w:r>
            </w:hyperlink>
            <w:r>
              <w:rPr>
                <w:rFonts w:ascii="Arial" w:eastAsia="Arial" w:hAnsi="Arial" w:cs="Arial"/>
                <w:sz w:val="20"/>
                <w:szCs w:val="20"/>
              </w:rPr>
              <w:t xml:space="preserve">,” </w:t>
            </w:r>
            <w:proofErr w:type="spellStart"/>
            <w:r>
              <w:rPr>
                <w:rFonts w:ascii="Arial" w:eastAsia="Arial" w:hAnsi="Arial" w:cs="Arial"/>
                <w:i/>
                <w:iCs/>
                <w:sz w:val="20"/>
                <w:szCs w:val="20"/>
              </w:rPr>
              <w:t>Optica</w:t>
            </w:r>
            <w:proofErr w:type="spellEnd"/>
            <w:r>
              <w:rPr>
                <w:rFonts w:ascii="Arial" w:eastAsia="Arial" w:hAnsi="Arial" w:cs="Arial"/>
                <w:i/>
                <w:iCs/>
                <w:sz w:val="20"/>
                <w:szCs w:val="20"/>
              </w:rPr>
              <w:t xml:space="preserve"> Quantum</w:t>
            </w:r>
            <w:r>
              <w:rPr>
                <w:rFonts w:ascii="Arial" w:eastAsia="Arial" w:hAnsi="Arial" w:cs="Arial"/>
                <w:sz w:val="20"/>
                <w:szCs w:val="20"/>
              </w:rPr>
              <w:t xml:space="preserve"> </w:t>
            </w:r>
            <w:r>
              <w:rPr>
                <w:rFonts w:ascii="Arial" w:eastAsia="Arial" w:hAnsi="Arial" w:cs="Arial"/>
                <w:b/>
                <w:bCs/>
                <w:sz w:val="20"/>
                <w:szCs w:val="20"/>
              </w:rPr>
              <w:t>3</w:t>
            </w:r>
            <w:r>
              <w:rPr>
                <w:rFonts w:ascii="Arial" w:eastAsia="Arial" w:hAnsi="Arial" w:cs="Arial"/>
                <w:sz w:val="20"/>
                <w:szCs w:val="20"/>
              </w:rPr>
              <w:t>, 280-288 (2025).</w:t>
            </w:r>
          </w:p>
          <w:p w14:paraId="429DDF41" w14:textId="77777777" w:rsidR="00252E61" w:rsidRDefault="00000000">
            <w:pPr>
              <w:numPr>
                <w:ilvl w:val="0"/>
                <w:numId w:val="2"/>
              </w:numPr>
              <w:rPr>
                <w:rFonts w:ascii="Arial" w:eastAsia="Arial" w:hAnsi="Arial" w:cs="Arial"/>
                <w:sz w:val="20"/>
                <w:szCs w:val="20"/>
              </w:rPr>
            </w:pPr>
            <w:r>
              <w:rPr>
                <w:rFonts w:ascii="Arial" w:eastAsia="Arial" w:hAnsi="Arial" w:cs="Arial"/>
                <w:sz w:val="20"/>
                <w:szCs w:val="20"/>
              </w:rPr>
              <w:t>X. Liu, E.N. Christensen, K. Rottwitt and S. Ramachandran, “</w:t>
            </w:r>
            <w:hyperlink r:id="rId13">
              <w:r>
                <w:rPr>
                  <w:rFonts w:ascii="Arial" w:eastAsia="Arial" w:hAnsi="Arial" w:cs="Arial"/>
                  <w:color w:val="1155CC"/>
                  <w:sz w:val="20"/>
                  <w:szCs w:val="20"/>
                  <w:u w:val="single"/>
                </w:rPr>
                <w:t>Nonlinear four-wave mixing with enhanced diversity and selectivity via spin and orbital angular momentum conservation</w:t>
              </w:r>
            </w:hyperlink>
            <w:r>
              <w:rPr>
                <w:rFonts w:ascii="Arial" w:eastAsia="Arial" w:hAnsi="Arial" w:cs="Arial"/>
                <w:sz w:val="20"/>
                <w:szCs w:val="20"/>
              </w:rPr>
              <w:t xml:space="preserve">,” </w:t>
            </w:r>
            <w:r>
              <w:rPr>
                <w:rFonts w:ascii="Arial" w:eastAsia="Arial" w:hAnsi="Arial" w:cs="Arial"/>
                <w:i/>
                <w:iCs/>
                <w:sz w:val="20"/>
                <w:szCs w:val="20"/>
              </w:rPr>
              <w:t>APL Photonics</w:t>
            </w:r>
            <w:r>
              <w:rPr>
                <w:rFonts w:ascii="Arial" w:eastAsia="Arial" w:hAnsi="Arial" w:cs="Arial"/>
                <w:sz w:val="20"/>
                <w:szCs w:val="20"/>
              </w:rPr>
              <w:t xml:space="preserve"> </w:t>
            </w:r>
            <w:r>
              <w:rPr>
                <w:rFonts w:ascii="Arial" w:eastAsia="Arial" w:hAnsi="Arial" w:cs="Arial"/>
                <w:b/>
                <w:bCs/>
                <w:sz w:val="20"/>
                <w:szCs w:val="20"/>
              </w:rPr>
              <w:t>5</w:t>
            </w:r>
            <w:r>
              <w:rPr>
                <w:rFonts w:ascii="Arial" w:eastAsia="Arial" w:hAnsi="Arial" w:cs="Arial"/>
                <w:sz w:val="20"/>
                <w:szCs w:val="20"/>
              </w:rPr>
              <w:t>, 010802 (2020).</w:t>
            </w:r>
          </w:p>
        </w:tc>
        <w:tc>
          <w:tcPr>
            <w:tcW w:w="1345" w:type="dxa"/>
          </w:tcPr>
          <w:p w14:paraId="3D8A8CF7" w14:textId="77777777" w:rsidR="00252E61" w:rsidRDefault="00000000">
            <w:pPr>
              <w:rPr>
                <w:rFonts w:ascii="Arial" w:eastAsia="Arial" w:hAnsi="Arial" w:cs="Arial"/>
                <w:sz w:val="20"/>
                <w:szCs w:val="20"/>
              </w:rPr>
            </w:pPr>
            <w:r>
              <w:rPr>
                <w:rFonts w:ascii="Arial" w:eastAsia="Arial" w:hAnsi="Arial" w:cs="Arial"/>
                <w:sz w:val="20"/>
                <w:szCs w:val="20"/>
              </w:rPr>
              <w:t>Siddharth Ramachandran</w:t>
            </w:r>
          </w:p>
          <w:p w14:paraId="074EBD18" w14:textId="77777777" w:rsidR="00252E61" w:rsidRDefault="00000000">
            <w:pPr>
              <w:rPr>
                <w:rFonts w:ascii="Arial" w:eastAsia="Arial" w:hAnsi="Arial" w:cs="Arial"/>
                <w:sz w:val="20"/>
                <w:szCs w:val="20"/>
              </w:rPr>
            </w:pPr>
            <w:hyperlink r:id="rId14">
              <w:r>
                <w:rPr>
                  <w:rFonts w:ascii="Arial" w:eastAsia="Arial" w:hAnsi="Arial" w:cs="Arial"/>
                  <w:color w:val="1155CC"/>
                  <w:sz w:val="20"/>
                  <w:szCs w:val="20"/>
                  <w:u w:val="single"/>
                </w:rPr>
                <w:t>https://sites.bu.edu/ramachandranlab/</w:t>
              </w:r>
            </w:hyperlink>
            <w:r>
              <w:rPr>
                <w:rFonts w:ascii="Arial" w:eastAsia="Arial" w:hAnsi="Arial" w:cs="Arial"/>
                <w:sz w:val="20"/>
                <w:szCs w:val="20"/>
              </w:rPr>
              <w:t xml:space="preserve"> </w:t>
            </w:r>
          </w:p>
        </w:tc>
        <w:tc>
          <w:tcPr>
            <w:tcW w:w="815" w:type="dxa"/>
          </w:tcPr>
          <w:p w14:paraId="72B901A1" w14:textId="1C64466B" w:rsidR="00252E61" w:rsidRDefault="00E05EF4">
            <w:pPr>
              <w:rPr>
                <w:rFonts w:ascii="Arial" w:eastAsia="Arial" w:hAnsi="Arial" w:cs="Arial"/>
                <w:sz w:val="20"/>
                <w:szCs w:val="20"/>
              </w:rPr>
            </w:pPr>
            <w:r>
              <w:rPr>
                <w:rFonts w:ascii="Arial" w:eastAsia="Arial" w:hAnsi="Arial" w:cs="Arial"/>
                <w:sz w:val="20"/>
                <w:szCs w:val="20"/>
              </w:rPr>
              <w:t>1</w:t>
            </w:r>
          </w:p>
        </w:tc>
        <w:tc>
          <w:tcPr>
            <w:tcW w:w="1170" w:type="dxa"/>
          </w:tcPr>
          <w:p w14:paraId="3E807B5E" w14:textId="77777777" w:rsidR="00252E61" w:rsidRDefault="00252E61">
            <w:pPr>
              <w:rPr>
                <w:rFonts w:ascii="Arial" w:eastAsia="Arial" w:hAnsi="Arial" w:cs="Arial"/>
                <w:sz w:val="20"/>
                <w:szCs w:val="20"/>
              </w:rPr>
            </w:pPr>
          </w:p>
        </w:tc>
      </w:tr>
      <w:tr w:rsidR="00252E61" w14:paraId="26E32E4D" w14:textId="77777777">
        <w:tc>
          <w:tcPr>
            <w:tcW w:w="1885" w:type="dxa"/>
          </w:tcPr>
          <w:p w14:paraId="270B173D" w14:textId="77777777" w:rsidR="00252E61" w:rsidRDefault="00000000">
            <w:r>
              <w:rPr>
                <w:rFonts w:ascii="Arial" w:eastAsia="Arial" w:hAnsi="Arial" w:cs="Arial"/>
              </w:rPr>
              <w:t xml:space="preserve">Novel image sensor device </w:t>
            </w:r>
          </w:p>
        </w:tc>
        <w:tc>
          <w:tcPr>
            <w:tcW w:w="8735" w:type="dxa"/>
          </w:tcPr>
          <w:p w14:paraId="6F8741C5" w14:textId="77777777" w:rsidR="00252E61" w:rsidRDefault="00000000">
            <w:pPr>
              <w:spacing w:after="160" w:line="301" w:lineRule="auto"/>
              <w:rPr>
                <w:rFonts w:ascii="Arial" w:eastAsia="Arial" w:hAnsi="Arial" w:cs="Arial"/>
                <w:sz w:val="20"/>
                <w:szCs w:val="20"/>
              </w:rPr>
            </w:pPr>
            <w:r>
              <w:rPr>
                <w:rFonts w:ascii="Arial" w:eastAsia="Arial" w:hAnsi="Arial" w:cs="Arial"/>
                <w:sz w:val="20"/>
                <w:szCs w:val="20"/>
              </w:rPr>
              <w:t xml:space="preserve">The aim of the project is to develop an optically read out image sensor that tightly combines photonics and electric integrated circuits. Close integration between photonic and electronic circuits provides an industrially scalable pathway to ultra-high-bandwidth and low-latency devices for data communication and sensing. With conventional electrical signal readout, the energy consumption and latency of data transmission through metal interconnects increase with distance, posing a fundamental limit on system scalability [1]. By transducing electrical signals locally into optical signals using compact on-chip modulators, the proposed platform circumvents the electric data transmission bottleneck and enables high-fidelity, long-distance optical transmission to support distributed downstream processing (e.g., using photonic chips for direct signal processing of ~TB/s of continuously streaming data.). </w:t>
            </w:r>
          </w:p>
          <w:p w14:paraId="32F30EC4" w14:textId="77777777" w:rsidR="00252E61" w:rsidRDefault="00000000">
            <w:pPr>
              <w:spacing w:after="160" w:line="301" w:lineRule="auto"/>
              <w:rPr>
                <w:rFonts w:ascii="Arial" w:eastAsia="Arial" w:hAnsi="Arial" w:cs="Arial"/>
                <w:sz w:val="20"/>
                <w:szCs w:val="20"/>
              </w:rPr>
            </w:pPr>
            <w:r>
              <w:rPr>
                <w:rFonts w:ascii="Arial" w:eastAsia="Arial" w:hAnsi="Arial" w:cs="Arial"/>
                <w:sz w:val="20"/>
                <w:szCs w:val="20"/>
              </w:rPr>
              <w:t>We are looking for candidates with strong interest and prior experience in photonic IC design or analog/mixed-signal CMOS IC design. We will be using tools such as Tidy3D [2]/</w:t>
            </w:r>
            <w:proofErr w:type="spellStart"/>
            <w:r>
              <w:rPr>
                <w:rFonts w:ascii="Arial" w:eastAsia="Arial" w:hAnsi="Arial" w:cs="Arial"/>
                <w:sz w:val="20"/>
                <w:szCs w:val="20"/>
              </w:rPr>
              <w:t>Lumerical</w:t>
            </w:r>
            <w:proofErr w:type="spellEnd"/>
            <w:r>
              <w:rPr>
                <w:rFonts w:ascii="Arial" w:eastAsia="Arial" w:hAnsi="Arial" w:cs="Arial"/>
                <w:sz w:val="20"/>
                <w:szCs w:val="20"/>
              </w:rPr>
              <w:t xml:space="preserve"> for design/simulation and Cadence for layout.</w:t>
            </w:r>
          </w:p>
          <w:p w14:paraId="318A33C5" w14:textId="77777777" w:rsidR="00252E61" w:rsidRDefault="00000000">
            <w:pPr>
              <w:spacing w:after="160" w:line="301" w:lineRule="auto"/>
              <w:rPr>
                <w:rFonts w:ascii="Arial" w:eastAsia="Arial" w:hAnsi="Arial" w:cs="Arial"/>
                <w:sz w:val="20"/>
                <w:szCs w:val="20"/>
              </w:rPr>
            </w:pPr>
            <w:r>
              <w:rPr>
                <w:rFonts w:ascii="Arial" w:eastAsia="Arial" w:hAnsi="Arial" w:cs="Arial"/>
                <w:sz w:val="20"/>
                <w:szCs w:val="20"/>
              </w:rPr>
              <w:t xml:space="preserve"> [1] Miller, David AB. "Attojoule optoelectronics for low-energy information processing and communications." Journal of Lightwave Technology 35.3 (2017): 346-396.</w:t>
            </w:r>
          </w:p>
          <w:p w14:paraId="1DF0D9BF" w14:textId="77777777" w:rsidR="00252E61" w:rsidRDefault="00000000">
            <w:pPr>
              <w:spacing w:after="160" w:line="301" w:lineRule="auto"/>
              <w:rPr>
                <w:rFonts w:ascii="Arial" w:eastAsia="Arial" w:hAnsi="Arial" w:cs="Arial"/>
                <w:color w:val="96607D"/>
                <w:sz w:val="20"/>
                <w:szCs w:val="20"/>
                <w:u w:val="single"/>
              </w:rPr>
            </w:pPr>
            <w:r>
              <w:rPr>
                <w:rFonts w:ascii="Arial" w:eastAsia="Arial" w:hAnsi="Arial" w:cs="Arial"/>
                <w:sz w:val="20"/>
                <w:szCs w:val="20"/>
              </w:rPr>
              <w:t xml:space="preserve">[2] </w:t>
            </w:r>
            <w:hyperlink r:id="rId15">
              <w:r>
                <w:rPr>
                  <w:rFonts w:ascii="Arial" w:eastAsia="Arial" w:hAnsi="Arial" w:cs="Arial"/>
                  <w:color w:val="96607D"/>
                  <w:sz w:val="20"/>
                  <w:szCs w:val="20"/>
                  <w:u w:val="single"/>
                </w:rPr>
                <w:t>https://www.flexcompute.com/tidy3d/community/notebooks/ShapeOptimizationMMI3D/</w:t>
              </w:r>
            </w:hyperlink>
          </w:p>
        </w:tc>
        <w:tc>
          <w:tcPr>
            <w:tcW w:w="1345" w:type="dxa"/>
          </w:tcPr>
          <w:p w14:paraId="3BDE2B4F" w14:textId="77777777" w:rsidR="00252E61" w:rsidRDefault="00000000">
            <w:pPr>
              <w:rPr>
                <w:rFonts w:ascii="Arial" w:eastAsia="Arial" w:hAnsi="Arial" w:cs="Arial"/>
                <w:sz w:val="20"/>
                <w:szCs w:val="20"/>
              </w:rPr>
            </w:pPr>
            <w:r>
              <w:rPr>
                <w:rFonts w:ascii="Arial" w:eastAsia="Arial" w:hAnsi="Arial" w:cs="Arial"/>
                <w:sz w:val="20"/>
                <w:szCs w:val="20"/>
              </w:rPr>
              <w:t xml:space="preserve">Tianyu Wang </w:t>
            </w:r>
          </w:p>
          <w:p w14:paraId="55305502" w14:textId="77777777" w:rsidR="00252E61" w:rsidRDefault="00252E61">
            <w:pPr>
              <w:rPr>
                <w:rFonts w:ascii="Arial" w:eastAsia="Arial" w:hAnsi="Arial" w:cs="Arial"/>
                <w:sz w:val="20"/>
                <w:szCs w:val="20"/>
              </w:rPr>
            </w:pPr>
          </w:p>
          <w:p w14:paraId="3A3A095D" w14:textId="77777777" w:rsidR="00252E61" w:rsidRDefault="00000000">
            <w:pPr>
              <w:rPr>
                <w:rFonts w:ascii="Arial" w:eastAsia="Arial" w:hAnsi="Arial" w:cs="Arial"/>
                <w:sz w:val="20"/>
                <w:szCs w:val="20"/>
              </w:rPr>
            </w:pPr>
            <w:r>
              <w:rPr>
                <w:rFonts w:ascii="Arial" w:eastAsia="Arial" w:hAnsi="Arial" w:cs="Arial"/>
                <w:sz w:val="20"/>
                <w:szCs w:val="20"/>
              </w:rPr>
              <w:t>https://tyw-lab.github.io/research/</w:t>
            </w:r>
          </w:p>
        </w:tc>
        <w:tc>
          <w:tcPr>
            <w:tcW w:w="815" w:type="dxa"/>
          </w:tcPr>
          <w:p w14:paraId="5F86143E" w14:textId="77777777" w:rsidR="00252E61" w:rsidRDefault="00000000">
            <w:pPr>
              <w:rPr>
                <w:rFonts w:ascii="Arial" w:eastAsia="Arial" w:hAnsi="Arial" w:cs="Arial"/>
                <w:sz w:val="20"/>
                <w:szCs w:val="20"/>
              </w:rPr>
            </w:pPr>
            <w:r>
              <w:rPr>
                <w:rFonts w:ascii="Arial" w:eastAsia="Arial" w:hAnsi="Arial" w:cs="Arial"/>
                <w:sz w:val="20"/>
                <w:szCs w:val="20"/>
              </w:rPr>
              <w:t>1</w:t>
            </w:r>
          </w:p>
        </w:tc>
        <w:tc>
          <w:tcPr>
            <w:tcW w:w="1170" w:type="dxa"/>
          </w:tcPr>
          <w:p w14:paraId="35C37819" w14:textId="77777777" w:rsidR="00252E61" w:rsidRDefault="00252E61">
            <w:pPr>
              <w:rPr>
                <w:rFonts w:ascii="Arial" w:eastAsia="Arial" w:hAnsi="Arial" w:cs="Arial"/>
                <w:sz w:val="20"/>
                <w:szCs w:val="20"/>
              </w:rPr>
            </w:pPr>
          </w:p>
        </w:tc>
      </w:tr>
    </w:tbl>
    <w:p w14:paraId="747403EE" w14:textId="77777777" w:rsidR="00252E61" w:rsidRDefault="00252E61">
      <w:pPr>
        <w:rPr>
          <w:rFonts w:ascii="Arial" w:eastAsia="Arial" w:hAnsi="Arial" w:cs="Arial"/>
          <w:sz w:val="20"/>
          <w:szCs w:val="20"/>
        </w:rPr>
      </w:pPr>
    </w:p>
    <w:sectPr w:rsidR="00252E61">
      <w:pgSz w:w="15840" w:h="12240" w:orient="landscape"/>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C8380AA-430A-3E41-BAF0-9D52410B0F24}"/>
  </w:font>
  <w:font w:name="Calibri">
    <w:panose1 w:val="020F0502020204030204"/>
    <w:charset w:val="00"/>
    <w:family w:val="swiss"/>
    <w:pitch w:val="variable"/>
    <w:sig w:usb0="E4002EFF" w:usb1="C200247B" w:usb2="00000009" w:usb3="00000000" w:csb0="000001FF" w:csb1="00000000"/>
    <w:embedRegular r:id="rId2" w:fontKey="{56CDA845-C105-4745-B384-99AE58765594}"/>
    <w:embedBold r:id="rId3" w:fontKey="{0A3CB84F-41E7-BD47-814B-9DF93BC10D08}"/>
  </w:font>
  <w:font w:name="Arial">
    <w:panose1 w:val="020B0604020202020204"/>
    <w:charset w:val="00"/>
    <w:family w:val="swiss"/>
    <w:pitch w:val="variable"/>
    <w:sig w:usb0="E0002AFF" w:usb1="C0007843" w:usb2="00000009" w:usb3="00000000" w:csb0="000001FF" w:csb1="00000000"/>
    <w:embedRegular r:id="rId4" w:fontKey="{F1058430-EE8E-D040-848B-C6DB9182D856}"/>
    <w:embedBold r:id="rId5" w:fontKey="{381F27A2-C737-214D-9D60-E6C422897C20}"/>
    <w:embedItalic r:id="rId6" w:fontKey="{DB5FECE5-2EC4-6445-A731-AB46D60A1B39}"/>
    <w:embedBoldItalic r:id="rId7" w:fontKey="{1267F07B-591E-4B48-B5C5-8AFA2D7EEE0E}"/>
  </w:font>
  <w:font w:name="Georgia">
    <w:panose1 w:val="02040502050405020303"/>
    <w:charset w:val="00"/>
    <w:family w:val="roman"/>
    <w:pitch w:val="variable"/>
    <w:sig w:usb0="00000287" w:usb1="00000000" w:usb2="00000000" w:usb3="00000000" w:csb0="0000009F" w:csb1="00000000"/>
    <w:embedItalic r:id="rId8" w:fontKey="{C629515E-5699-2841-8F24-97FDE2D6DC82}"/>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9" w:fontKey="{4DB48862-6BA8-1C45-91F9-1FE1D44B8C7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025D80"/>
    <w:multiLevelType w:val="multilevel"/>
    <w:tmpl w:val="98661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7F84A86"/>
    <w:multiLevelType w:val="multilevel"/>
    <w:tmpl w:val="5CD259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90097323">
    <w:abstractNumId w:val="0"/>
  </w:num>
  <w:num w:numId="2" w16cid:durableId="12451481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E61"/>
    <w:rsid w:val="00252E61"/>
    <w:rsid w:val="005C2E68"/>
    <w:rsid w:val="00C35657"/>
    <w:rsid w:val="00E05E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C0A69C3"/>
  <w15:docId w15:val="{191441F1-7138-9140-809B-B095D15F3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CommentText">
    <w:name w:val="annotation text"/>
    <w:basedOn w:val="Normal"/>
    <w:uiPriority w:val="99"/>
    <w:semiHidden/>
    <w:unhideWhenUsed/>
  </w:style>
  <w:style w:type="paragraph" w:styleId="PlainText">
    <w:name w:val="Plain Text"/>
    <w:basedOn w:val="Normal"/>
    <w:link w:val="PlainTextChar"/>
    <w:uiPriority w:val="99"/>
    <w:semiHidden/>
    <w:unhideWhenUsed/>
    <w:qFormat/>
    <w:rPr>
      <w:sz w:val="22"/>
      <w:szCs w:val="21"/>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color w:val="954F72" w:themeColor="followedHyperlink"/>
      <w:u w:val="single"/>
    </w:rPr>
  </w:style>
  <w:style w:type="character" w:styleId="Hyperlink">
    <w:name w:val="Hyperlink"/>
    <w:basedOn w:val="DefaultParagraphFont"/>
    <w:unhideWhenUsed/>
    <w:rPr>
      <w:color w:val="0000FF"/>
      <w:u w:val="single"/>
    </w:rPr>
  </w:style>
  <w:style w:type="paragraph" w:styleId="ListParagraph">
    <w:name w:val="List Paragraph"/>
    <w:basedOn w:val="Normal"/>
    <w:uiPriority w:val="34"/>
    <w:qFormat/>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style>
  <w:style w:type="character" w:customStyle="1" w:styleId="PlainTextChar">
    <w:name w:val="Plain Text Char"/>
    <w:basedOn w:val="DefaultParagraphFont"/>
    <w:link w:val="PlainText"/>
    <w:uiPriority w:val="99"/>
    <w:semiHidden/>
    <w:rPr>
      <w:rFonts w:ascii="Calibri" w:hAnsi="Calibri"/>
      <w:sz w:val="22"/>
      <w:szCs w:val="21"/>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UnresolvedMention2">
    <w:name w:val="Unresolved Mention2"/>
    <w:basedOn w:val="DefaultParagraphFont"/>
    <w:uiPriority w:val="99"/>
    <w:semiHidden/>
    <w:unhideWhenUsed/>
    <w:rPr>
      <w:color w:val="605E5C"/>
      <w:shd w:val="clear" w:color="auto" w:fill="E1DFDD"/>
    </w:rPr>
  </w:style>
  <w:style w:type="paragraph" w:customStyle="1" w:styleId="Default">
    <w:name w:val="Default"/>
    <w:rsid w:val="006374CB"/>
    <w:pPr>
      <w:autoSpaceDE w:val="0"/>
      <w:autoSpaceDN w:val="0"/>
      <w:adjustRightInd w:val="0"/>
    </w:pPr>
    <w:rPr>
      <w:rFonts w:ascii="Arial" w:hAnsi="Arial" w:cs="Arial"/>
      <w:color w:val="000000"/>
    </w:rPr>
  </w:style>
  <w:style w:type="character" w:styleId="UnresolvedMention">
    <w:name w:val="Unresolved Mention"/>
    <w:basedOn w:val="DefaultParagraphFont"/>
    <w:uiPriority w:val="99"/>
    <w:semiHidden/>
    <w:unhideWhenUsed/>
    <w:rsid w:val="005C06F4"/>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ites.bu.edu/cheng-group/" TargetMode="External"/><Relationship Id="rId13" Type="http://schemas.openxmlformats.org/officeDocument/2006/relationships/hyperlink" Target="https://doi.org/10.1063/1.5130715" TargetMode="External"/><Relationship Id="rId3" Type="http://schemas.openxmlformats.org/officeDocument/2006/relationships/styles" Target="styles.xml"/><Relationship Id="rId7" Type="http://schemas.openxmlformats.org/officeDocument/2006/relationships/hyperlink" Target="https://sites.bu.edu/cheng-group/" TargetMode="External"/><Relationship Id="rId12" Type="http://schemas.openxmlformats.org/officeDocument/2006/relationships/hyperlink" Target="https://doi.org/10.1364/OPTICAQ.560642"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sites.bu.edu/yanglab/" TargetMode="External"/><Relationship Id="rId11" Type="http://schemas.openxmlformats.org/officeDocument/2006/relationships/hyperlink" Target="https://sites.bu.edu/ramachandranlab/" TargetMode="External"/><Relationship Id="rId5" Type="http://schemas.openxmlformats.org/officeDocument/2006/relationships/webSettings" Target="webSettings.xml"/><Relationship Id="rId15" Type="http://schemas.openxmlformats.org/officeDocument/2006/relationships/hyperlink" Target="https://www.flexcompute.com/tidy3d/community/notebooks/ShapeOptimizationMMI3D/" TargetMode="External"/><Relationship Id="rId10" Type="http://schemas.openxmlformats.org/officeDocument/2006/relationships/hyperlink" Target="https://doi.org/10.1126/science.add1874" TargetMode="External"/><Relationship Id="rId4" Type="http://schemas.openxmlformats.org/officeDocument/2006/relationships/settings" Target="settings.xml"/><Relationship Id="rId9" Type="http://schemas.openxmlformats.org/officeDocument/2006/relationships/hyperlink" Target="https://doi.org/10.1063/5.0172305" TargetMode="External"/><Relationship Id="rId14" Type="http://schemas.openxmlformats.org/officeDocument/2006/relationships/hyperlink" Target="https://sites.bu.edu/ramachandranlab/"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T4RU32km29hqb2A1iF+sqHxmGg==">CgMxLjA4AHIhMW9RTGxpdDJkS1RlY09SdkRsNTE2NFc5OGFJdjQxZnJ3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899</Words>
  <Characters>5805</Characters>
  <Application>Microsoft Office Word</Application>
  <DocSecurity>0</DocSecurity>
  <Lines>170</Lines>
  <Paragraphs>56</Paragraphs>
  <ScaleCrop>false</ScaleCrop>
  <Company/>
  <LinksUpToDate>false</LinksUpToDate>
  <CharactersWithSpaces>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Yang, Chen</cp:lastModifiedBy>
  <cp:revision>3</cp:revision>
  <dcterms:created xsi:type="dcterms:W3CDTF">2026-01-23T15:33:00Z</dcterms:created>
  <dcterms:modified xsi:type="dcterms:W3CDTF">2026-01-23T15:33:00Z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